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9E" w:rsidRPr="00CF249E" w:rsidRDefault="00CF249E" w:rsidP="00CF249E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>О вреде потребления табака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Информация о вреде потребления табака и вредном воздействии окружающего табачного дыма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Курение — это один из ведущих факторов </w:t>
      </w:r>
      <w:proofErr w:type="spell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саморазрушительного</w:t>
      </w:r>
      <w:proofErr w:type="spell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поведения. Массовое распространение курения табака делает эту проблему не только медицинской, но и социальной. Число курильщиков во всем мире с каждым годом растет.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Курить или не курить — это дело сугубо личное. А вот так называемое «пассивное» курение — дело не совсем личное. При сгорании сигареты 25% табака превращается в пепел, 25% — курильщик поглощает сам, а оставшиеся 50% воздействует на окружающих. Окружающие курящего люди, в том числе и </w:t>
      </w:r>
      <w:proofErr w:type="gram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ДЕТИ</w:t>
      </w:r>
      <w:proofErr w:type="gram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превращаются в пассивных курильщиков.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gram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 1 июня 2013 года вступил в силу Федеральный закон Российской Федерации от 23 февраля 2013 г. № 15-ФЗ «Об охране здоровья граждан от воздействия окружающего табачного дыма и последствий потребления табака», в котором под ограничением курения табака законодательством подразумевается не полный запрет его курения, а его снижение употребления путем установления запрета на курение на определенных территориях, установления специальных требований рекламы</w:t>
      </w:r>
      <w:proofErr w:type="gram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табачных изделий, установления обязательной маркировки табачных изделий, производимых на территории Российской Федерации, запрета реализации табачных изделий в определенных местах и определенным категориям лиц.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Подобные государственные меры не беспричинны, они продиктованы, прежде всего, медико-социальными показателями, которые бесспорно указывают, что курение табака является вредной привычкой, ухудшающей здоровье человека.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Федеральный закон от 23 февраля 2013 года № 15-ФЗ «Об охране здоровья граждан от воздействия окружающего табачного дыма и последствий потребления табака»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gram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Одной из обязанностей граждан в сфере охраны здоровья граждан от воздействия окружающего табачного дыма и последствий потребления табака является забота о формировании у детей отрицательного отношения к потреблению табака, а также о недопустимости их вовлечения в процесс потребления табака (пункт 2 части 2 статьи 9 Федерального закона от 23.02.2013 N 15-ФЗ).</w:t>
      </w:r>
      <w:proofErr w:type="gram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При этом под потреблением табака понимается курение табака, сосание, жевание, нюханье табачных изделий. Одновременно ст. 20 указанного Закона установлен запрет продажи табачной продукции несовершеннолетним и несовершеннолетними, вовлечения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</w: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  <w:t>Выдержка из </w:t>
      </w: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статьи 12. Запрет курения табака на отдельных территориях, в помещениях и на объектах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 частью 2 настоящей статьи):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lastRenderedPageBreak/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gram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впомещениях</w:t>
      </w:r>
      <w:proofErr w:type="gram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7) в помещениях социальных служб;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9) на рабочих местах и в рабочих зонах, организованных в помещениях;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10) в лифтах и помещениях общего пользования многоквартирных домов;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11) на детских площадках и в границах территорий, занятых пляжами;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13) на автозаправочных станциях.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Ответственность за нарушение закона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За вовлечение несовершеннолетнего в процесс потребления табака, нарушение запрета курения табака предусмотрена административная ответственность!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"Кодекс Российской Федерации об административных правонарушениях" от 30.12.2001 N 195-ФЗ (ред. от 08.06.2020)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КоАП РФ Статья 6.23. Вовлечение несовершеннолетнего в процесс потребления табака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(</w:t>
      </w:r>
      <w:proofErr w:type="gram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введена</w:t>
      </w:r>
      <w:proofErr w:type="gram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Федеральным законом от 21.10.2013 N 274-ФЗ)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lastRenderedPageBreak/>
        <w:t>1. Вовлечение несовершеннолетнего в процесс потребления табака -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CF249E" w:rsidRPr="00CF249E" w:rsidRDefault="00CF249E" w:rsidP="00CF2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КоАП РФ 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(</w:t>
      </w:r>
      <w:proofErr w:type="gramStart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введена</w:t>
      </w:r>
      <w:proofErr w:type="gramEnd"/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Федеральным законом от 21.10.2013 N 274-ФЗ)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1. Нарушение установленного федеральным законом запрета курения табака на отдельных территориях, в помещениях и на объектах, за исключением случаев, предусмотренных частью 2 настоящей статьи, -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2. Нарушение установленного федеральным законом запрета курения табака на детских площадках -</w:t>
      </w:r>
    </w:p>
    <w:p w:rsidR="00CF249E" w:rsidRPr="00CF249E" w:rsidRDefault="00CF249E" w:rsidP="00CF2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F249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607B0F" w:rsidRDefault="00607B0F">
      <w:bookmarkStart w:id="0" w:name="_GoBack"/>
      <w:bookmarkEnd w:id="0"/>
    </w:p>
    <w:sectPr w:rsidR="00607B0F" w:rsidSect="0092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E2"/>
    <w:rsid w:val="00607B0F"/>
    <w:rsid w:val="0071441F"/>
    <w:rsid w:val="007647E2"/>
    <w:rsid w:val="00922387"/>
    <w:rsid w:val="00990FAD"/>
    <w:rsid w:val="009F0C73"/>
    <w:rsid w:val="00C36C4B"/>
    <w:rsid w:val="00CF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C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2020-06-10T03:28:00Z</cp:lastPrinted>
  <dcterms:created xsi:type="dcterms:W3CDTF">2024-04-24T09:49:00Z</dcterms:created>
  <dcterms:modified xsi:type="dcterms:W3CDTF">2024-04-24T09:49:00Z</dcterms:modified>
</cp:coreProperties>
</file>